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hanging="0"/>
        <w:rPr>
          <w:b/>
          <w:b/>
          <w:lang w:val="pl-PL"/>
        </w:rPr>
      </w:pPr>
      <w:r>
        <w:rPr/>
      </w:r>
    </w:p>
    <w:p>
      <w:pPr>
        <w:pStyle w:val="Standard"/>
        <w:ind w:hanging="0"/>
        <w:rPr>
          <w:b/>
          <w:b/>
          <w:lang w:val="pl-PL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CHEMIA  klasa  </w:t>
      </w:r>
      <w:r>
        <w:rPr>
          <w:b/>
        </w:rPr>
        <w:t>3</w:t>
      </w:r>
      <w:r>
        <w:rPr>
          <w:b/>
        </w:rPr>
        <w:t xml:space="preserve"> LO  po szkole podstawowej – zakres rozszerzony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ind w:hanging="0"/>
        <w:rPr>
          <w:b/>
          <w:b/>
          <w:lang w:val="pl-PL"/>
        </w:rPr>
      </w:pPr>
      <w:r>
        <w:rPr/>
      </w:r>
    </w:p>
    <w:p>
      <w:pPr>
        <w:pStyle w:val="Standard"/>
        <w:ind w:hanging="0"/>
        <w:rPr>
          <w:b/>
          <w:b/>
          <w:lang w:val="pl-PL"/>
        </w:rPr>
      </w:pPr>
      <w:r>
        <w:rPr>
          <w:b/>
          <w:bCs/>
          <w:lang w:val="pl-PL"/>
        </w:rPr>
        <w:t>Charakterystyka pierwiastków i związków chemicznych c.d.</w:t>
      </w:r>
    </w:p>
    <w:p>
      <w:pPr>
        <w:pStyle w:val="Standard"/>
        <w:rPr>
          <w:b/>
          <w:b/>
          <w:lang w:val="pl-PL"/>
        </w:rPr>
      </w:pPr>
      <w:r>
        <w:rPr>
          <w:b/>
          <w:lang w:val="pl-PL"/>
        </w:rPr>
      </w:r>
    </w:p>
    <w:tbl>
      <w:tblPr>
        <w:tblW w:w="14570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85"/>
        <w:gridCol w:w="7284"/>
      </w:tblGrid>
      <w:tr>
        <w:trPr/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eastAsia="en-US" w:bidi="ar-SA"/>
              </w:rPr>
              <w:t>Wymagania edukacyjne podstawowe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/>
              <w:tabs>
                <w:tab w:val="clear" w:pos="708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l-PL" w:eastAsia="en-US" w:bidi="ar-SA"/>
              </w:rPr>
              <w:t>Wymagania edukacyjne ponadpodstawowe</w:t>
            </w:r>
          </w:p>
        </w:tc>
      </w:tr>
      <w:tr>
        <w:trPr/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</w:tabs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od czego zależy charakter chemiczny związków chromu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mangan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od czego zależy charakter chemiczny związków manganu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położenia w szeregu napięciowym metali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systematyczne i wzory sumaryczne związków miedzi oraz omawia ich właściwości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typowe właściwości pierwiastków chemicznych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podobieństwa właściwości pierwiastków chemicznych w ramach grup układu okresowego i zmiany tych właściwości w okresach</w:t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>
            <w:pPr>
              <w:pStyle w:val="Zawartotabeli"/>
              <w:widowControl w:val="false"/>
              <w:numPr>
                <w:ilvl w:val="0"/>
                <w:numId w:val="17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>
            <w:pPr>
              <w:pStyle w:val="Zawartotabeli"/>
              <w:widowControl w:val="false"/>
              <w:numPr>
                <w:ilvl w:val="0"/>
                <w:numId w:val="17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kryterium przynależności pierwiastków chemicznych do poszczególnych bloków energetycznych</w:t>
            </w:r>
          </w:p>
          <w:p>
            <w:pPr>
              <w:pStyle w:val="Zawartotabeli"/>
              <w:widowControl w:val="false"/>
              <w:numPr>
                <w:ilvl w:val="0"/>
                <w:numId w:val="17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</w:tabs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</w:tabs>
              <w:ind w:left="186" w:right="0" w:hanging="186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manganianu(VII) potasu z siarczanem(IV) sodu w środowiskach kwasowym, obojętnym i zasadowym</w:t>
            </w:r>
            <w:r>
              <w:rPr>
                <w:rFonts w:cs="Times New Roman"/>
                <w:sz w:val="18"/>
                <w:szCs w:val="18"/>
                <w:lang w:val="pl-PL"/>
              </w:rPr>
              <w:t>, zapisuje odpowiednie równania reakcji chemicznych oraz udowadnia, że są to reakcje redoks (wskazuje utleniacz, reduktor, proces utleniania i proces redukcji)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</w:tabs>
              <w:ind w:left="186" w:right="0" w:hanging="186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charakteru chemicznego związków chromu i manganu od stopni utlenienia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związków chromu i manganu w tych związkach chemicznych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</w:tabs>
              <w:ind w:left="186" w:right="0" w:hanging="186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</w:tabs>
              <w:ind w:left="186" w:right="0" w:hanging="186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</w:tabs>
              <w:ind w:left="186" w:right="0" w:hanging="186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</w:tabs>
              <w:ind w:left="186" w:right="0" w:hanging="186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chemografy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</w:tabs>
              <w:ind w:left="186" w:right="0" w:hanging="186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równanie reakcji chemicznej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</w:tabs>
              <w:ind w:left="186" w:right="0" w:hanging="186"/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>
              <w:rPr>
                <w:rFonts w:cs="Times New Roman"/>
                <w:sz w:val="18"/>
                <w:szCs w:val="18"/>
                <w:lang w:val="pl-PL"/>
              </w:rPr>
              <w:t>) i zapisuje odpowiednie równania reakcji chemicznych</w:t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rPr>
                <w:b/>
                <w:b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omawia kryterium przynależności pierwiastków chemicznych do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lantanowce </w:t>
            </w:r>
            <w:r>
              <w:rPr>
                <w:sz w:val="18"/>
                <w:szCs w:val="18"/>
                <w:lang w:val="pl-PL"/>
              </w:rPr>
              <w:t xml:space="preserve">i </w:t>
            </w:r>
            <w:r>
              <w:rPr>
                <w:i/>
                <w:sz w:val="18"/>
                <w:szCs w:val="18"/>
                <w:lang w:val="pl-PL"/>
              </w:rPr>
              <w:t>aktynowce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charakteryzuje lantanowce i aktynowce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</w:tabs>
              <w:ind w:left="181" w:right="0" w:hanging="181"/>
              <w:rPr>
                <w:b/>
                <w:b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</w:tc>
      </w:tr>
    </w:tbl>
    <w:p>
      <w:pPr>
        <w:pStyle w:val="Normal"/>
        <w:widowControl w:val="false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ind w:left="426" w:hanging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Standard"/>
        <w:spacing w:lineRule="auto" w:line="276"/>
        <w:ind w:left="426" w:right="-371" w:hanging="0"/>
        <w:rPr>
          <w:rFonts w:cs="Times New Roman"/>
          <w:b/>
          <w:b/>
          <w:lang w:val="pl-PL"/>
        </w:rPr>
      </w:pPr>
      <w:r>
        <w:rPr>
          <w:rFonts w:cs="Times New Roman"/>
          <w:b/>
          <w:lang w:val="pl-PL"/>
        </w:rPr>
      </w:r>
    </w:p>
    <w:p>
      <w:pPr>
        <w:pStyle w:val="Standard"/>
        <w:spacing w:lineRule="auto" w:line="276"/>
        <w:ind w:left="426" w:right="-371" w:hanging="0"/>
        <w:rPr>
          <w:rFonts w:cs="Times New Roman"/>
          <w:b/>
          <w:b/>
          <w:lang w:val="pl-PL"/>
        </w:rPr>
      </w:pPr>
      <w:r>
        <w:rPr>
          <w:rFonts w:cs="Times New Roman"/>
          <w:b/>
          <w:lang w:val="pl-PL"/>
        </w:rPr>
      </w:r>
    </w:p>
    <w:p>
      <w:pPr>
        <w:pStyle w:val="Standard"/>
        <w:spacing w:lineRule="auto" w:line="276"/>
        <w:ind w:left="426" w:right="-371" w:hanging="0"/>
        <w:rPr>
          <w:rFonts w:cs="Times New Roman"/>
          <w:b/>
          <w:b/>
          <w:lang w:val="pl-PL"/>
        </w:rPr>
      </w:pPr>
      <w:r>
        <w:rPr>
          <w:rFonts w:cs="Times New Roman"/>
          <w:b/>
          <w:lang w:val="pl-PL"/>
        </w:rPr>
      </w:r>
    </w:p>
    <w:p>
      <w:pPr>
        <w:pStyle w:val="Standard"/>
        <w:spacing w:lineRule="auto" w:line="276"/>
        <w:ind w:left="426" w:right="-371" w:hanging="0"/>
        <w:rPr>
          <w:rFonts w:cs="Times New Roman"/>
          <w:b/>
          <w:b/>
          <w:lang w:val="pl-PL"/>
        </w:rPr>
      </w:pPr>
      <w:r>
        <w:rPr>
          <w:rFonts w:cs="Times New Roman"/>
          <w:b/>
          <w:lang w:val="pl-PL"/>
        </w:rPr>
      </w:r>
    </w:p>
    <w:p>
      <w:pPr>
        <w:pStyle w:val="Normal"/>
        <w:spacing w:before="0" w:after="240"/>
        <w:ind w:left="426" w:hanging="0"/>
        <w:rPr>
          <w:b/>
          <w:b/>
          <w:sz w:val="12"/>
          <w:szCs w:val="12"/>
        </w:rPr>
      </w:pPr>
      <w:r>
        <w:rPr>
          <w:b/>
        </w:rPr>
        <w:t>Chemia organiczna jako chemia związków węgla</w:t>
      </w:r>
    </w:p>
    <w:tbl>
      <w:tblPr>
        <w:tblW w:w="14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2"/>
        <w:gridCol w:w="7272"/>
      </w:tblGrid>
      <w:tr>
        <w:trPr/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Wymagania edukacyjne podstawowe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Wymagania edukacyjne ponadpodstawowe</w:t>
            </w:r>
          </w:p>
        </w:tc>
      </w:tr>
      <w:tr>
        <w:trPr/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>chemii organicznej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pierwiastki chemiczne wchodzące w skład związków organicznych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najważniejsze właściwości atomu węgla na podstawie położenia tego pierwiastka chemicznego w układzie okresowym pierwiastków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odmiany alotropowe węgla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>hybrydyzacji orbitali atomowych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chemii organicznej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właściwości węgla na podstawie położenia tego pierwiastka chemicznego w układzie okresowym pierwiastków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występowanie węgla w środowisku przyrodniczym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odmiany alotropowe węgla i ich właściwości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dlaczego atom węgla w większości związków chemicznych tworzy cztery wiązania kowalencyjne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zastosowanie węgla aktywnego w medycynie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porównuje historyczną definicję </w:t>
            </w:r>
            <w:r>
              <w:rPr>
                <w:i/>
                <w:sz w:val="18"/>
                <w:szCs w:val="18"/>
              </w:rPr>
              <w:t>chemii organicznej</w:t>
            </w:r>
            <w:r>
              <w:rPr>
                <w:sz w:val="18"/>
                <w:szCs w:val="18"/>
              </w:rPr>
              <w:t xml:space="preserve"> z definicją współczesną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przyczynę różnic między właściwościami odmian alotropowych węgla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hybrydyzację jako operację matematyczną, a nie proces fizyczny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sublimacja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resublimacja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ekstrakcja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krystalizacja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chromatografia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destylacja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i wyjaśnia pojęcia: </w:t>
            </w:r>
            <w:r>
              <w:rPr>
                <w:i/>
                <w:sz w:val="18"/>
                <w:szCs w:val="18"/>
              </w:rPr>
              <w:t>wzór strukturalny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wzór półstrukturalny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wzór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grupowy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wzór szkieletowy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typy reakcji chemicznych stosowanych w chemii organicznej: substytucja, addycja, eliminacja oraz reakcje jonowe i rodnikowe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historię rozwoju chemii organicznej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 znaczenie związków organicznych i ich różnorodność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sposoby otrzymywania fulerenów i wymienia ich rodzaje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wzory empiryczny (elementarny) i rzeczywisty (sumaryczny) danego związku organicznego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wykrywa obecność węgla, wodoru, tlenu, azotu i siarki w związkach organicznych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>
      <w:pPr>
        <w:pStyle w:val="Normal"/>
        <w:spacing w:lineRule="auto" w:line="36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Normal"/>
        <w:ind w:left="426" w:hanging="0"/>
        <w:rPr>
          <w:b/>
          <w:b/>
        </w:rPr>
      </w:pPr>
      <w:r>
        <w:rPr>
          <w:b/>
        </w:rPr>
        <w:t>Węglowodory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4560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80"/>
        <w:gridCol w:w="7279"/>
      </w:tblGrid>
      <w:tr>
        <w:trPr/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Wymagania edukacyjne podstawowe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Wymagania edukacyjne ponadpodstawowe</w:t>
            </w:r>
          </w:p>
        </w:tc>
      </w:tr>
      <w:tr>
        <w:trPr>
          <w:trHeight w:val="6653" w:hRule="atLeast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węglowodory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alkany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alkeny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alkiny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szereg homologiczny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węglowodorów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grupa alkilowa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reakcje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podstawiania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(substytucji)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przyłączania (addycji)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polimeryzacji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spalania</w:t>
            </w:r>
            <w:r>
              <w:rPr>
                <w:sz w:val="18"/>
                <w:szCs w:val="18"/>
              </w:rPr>
              <w:t>;</w:t>
            </w:r>
            <w:r>
              <w:rPr>
                <w:i/>
                <w:sz w:val="18"/>
                <w:szCs w:val="18"/>
              </w:rPr>
              <w:t xml:space="preserve"> rzędowość atomów węgla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 położeniowa i łańcuchowa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stan podstawowy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stan wzbudzony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wiązania typu </w:t>
            </w:r>
            <w:r>
              <w:rPr>
                <w:rFonts w:eastAsia="Symbol" w:cs="Symbol" w:ascii="Symbol" w:hAnsi="Symbol"/>
                <w:i/>
                <w:sz w:val="18"/>
                <w:szCs w:val="18"/>
              </w:rPr>
              <w:t></w:t>
            </w:r>
            <w:r>
              <w:rPr>
                <w:i/>
                <w:sz w:val="18"/>
                <w:szCs w:val="18"/>
              </w:rPr>
              <w:t xml:space="preserve"> i </w:t>
            </w:r>
            <w:r>
              <w:rPr>
                <w:rFonts w:eastAsia="Symbol" w:cs="Symbol" w:ascii="Symbol" w:hAnsi="Symbol"/>
                <w:i/>
                <w:sz w:val="18"/>
                <w:szCs w:val="18"/>
              </w:rPr>
              <w:t>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rodnik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sumaryczne i strukturalne oraz podaje nazwy systematyczne węglowodorów nasyconych i nienasyconych o liczbie atomów węgla od 1 do 4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związków w szeregach homologicznych węglowodorów oraz podaje ich nazwy, właściwości i zastosowania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spalania i bromowania metanu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spalania, uwodorniania oraz polimeryzacji etenu i etynu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przykłady węglowodorów aromatycznych (wzór, nazwa, zastosowanie)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rodzaje izomerii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źródła występowania węglowodorów w środowisku przyrodniczym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produkty destylacji ropy naftowej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źródła zanieczyszczeń powietrza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węglowodory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alkany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cykloalkany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alkeny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grupa alkilowa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areny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stan podstawowy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stan wzbudzony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wiązania typu </w:t>
            </w:r>
            <w:r>
              <w:rPr>
                <w:rFonts w:eastAsia="Symbol" w:cs="Symbol" w:ascii="Symbol" w:hAnsi="Symbol"/>
                <w:i/>
                <w:sz w:val="18"/>
                <w:szCs w:val="18"/>
              </w:rPr>
              <w:t></w:t>
            </w:r>
            <w:r>
              <w:rPr>
                <w:i/>
                <w:sz w:val="18"/>
                <w:szCs w:val="18"/>
              </w:rPr>
              <w:t xml:space="preserve"> i </w:t>
            </w:r>
            <w:r>
              <w:rPr>
                <w:rFonts w:eastAsia="Symbol" w:cs="Symbol" w:ascii="Symbol" w:hAnsi="Symbol"/>
                <w:i/>
                <w:sz w:val="18"/>
                <w:szCs w:val="18"/>
              </w:rPr>
              <w:t>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reakcja substytucji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rodnik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konfigurację elektronową atomu węgla w stanach podstawowym i wzbudzonym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ogólne alkanów, alkenów i alkinów na podstawie wzorów czterech pierwszych związków w szeregach homologicznych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właściwości metanu, etenu i etynu oraz zapisuje równania reakcji chemicznych, którym ulegają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Spalanie gazu ziemnego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Spalanie butanu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systematyczne izomerów na podstawie wzorów półstrukturalnych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nazewnictwa systematycznego alkanów (proste przykłady)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przebieg destylacji ropy naftowej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proces pirolizy węgla kamiennego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Sucha destylacja węgla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spalania całkowitego i niecałkowitego węglowodorów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bromowania etenu i etynu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rzędowość dowolnego atomu węgla w cząsteczce węglowodoru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aromatyczności</w:t>
            </w:r>
            <w:r>
              <w:rPr>
                <w:sz w:val="18"/>
                <w:szCs w:val="18"/>
              </w:rPr>
              <w:t xml:space="preserve"> na przykładzie benzenu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2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reakcje chemiczne, którym ulega benzen (spalanie, bromowanie z użyciem katalizatora, uwodornianie, nitrowanie i sulfonowanie)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2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przykłady (wzory i nazwy) homologów benzenu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2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przykłady (wzory i nazwy) arenów wielopierścieniowych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2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izomeria łańcuchowa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izomeria położeniowa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izomeria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 cis-trans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2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 przykłady izomerów </w:t>
            </w:r>
            <w:r>
              <w:rPr>
                <w:i/>
                <w:sz w:val="18"/>
                <w:szCs w:val="18"/>
              </w:rPr>
              <w:t>cis</w:t>
            </w:r>
            <w:r>
              <w:rPr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 xml:space="preserve"> oraz wyjaśnia różnice między nimi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25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sposoby ochrony środowiska przyrodniczego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metan, eten i etyn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w jaki sposób tworzą się w etenie i etynie wiązania typu </w:t>
            </w:r>
            <w:r>
              <w:rPr>
                <w:rFonts w:eastAsia="Symbol" w:cs="Symbol" w:ascii="Symbol" w:hAnsi="Symbol"/>
                <w:i/>
                <w:sz w:val="18"/>
                <w:szCs w:val="18"/>
              </w:rPr>
              <w:t>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rFonts w:eastAsia="Symbol" w:cs="Symbol" w:ascii="Symbol" w:hAnsi="Symbol"/>
                <w:i/>
                <w:sz w:val="18"/>
                <w:szCs w:val="18"/>
              </w:rPr>
              <w:t>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izomeria konstytucyjna, i podaje jej przykłady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nazwę systematyczną izomeru na podstawie wzoru półstrukturalnego i odwrotnie (przykłady o średnim stopniu trudności)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typy reakcji chemicznych, którym ulega dany węglowodór, i zapisuje ich równania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przebieg krakingu i reformingu oraz wyjaśnia znaczenie tych procesów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mechanizm reakcji substytucji na przykładzie bromowania metanu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 właściwości butanu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odróżnia doświadczalnie węglowodory nasycone od nienasyconych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693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pierścienia benzenowego (aromatyczność)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benzenu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benzenu, zachowując szczególne środki ostrożności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metylobenzenu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kierujący wpływ podstawników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kierujący wpływ podstawników i zapisuje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areny wielopierścieniowe, zapisuje ich wzory i podaje nazwy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właściwości naftalenu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nazwy izomerów </w:t>
            </w:r>
            <w:r>
              <w:rPr>
                <w:i/>
                <w:sz w:val="18"/>
                <w:szCs w:val="18"/>
              </w:rPr>
              <w:t>cis-trans</w:t>
            </w:r>
            <w:r>
              <w:rPr>
                <w:sz w:val="18"/>
                <w:szCs w:val="18"/>
              </w:rPr>
              <w:t xml:space="preserve"> węglowodorów o kilku atomach węgla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znaczenie pojęcia </w:t>
            </w:r>
            <w:r>
              <w:rPr>
                <w:i/>
                <w:sz w:val="18"/>
                <w:szCs w:val="18"/>
              </w:rPr>
              <w:t>liczby oktanowej (LO)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 kształt cząsteczki, znając typ hybrydyzacji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dowolnych przykładach mechanizmy reakcji: substytucji, addycji i eliminacji oraz przegrupowania wewnątrzcząsteczkowego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kolejne etapy substytucji rodnikowej i zapisuje je na przykładzie chlorowania etanu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mechanizm reakcji addycji na przykładzie reakcji etenu z chlorem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34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Normal"/>
        <w:spacing w:before="0" w:after="240"/>
        <w:ind w:left="426" w:hanging="0"/>
        <w:rPr>
          <w:b/>
          <w:b/>
        </w:rPr>
      </w:pPr>
      <w:r>
        <w:rPr>
          <w:b/>
        </w:rPr>
        <w:t>Jednofunkcyjne pochodne węglowodorów</w:t>
      </w:r>
    </w:p>
    <w:tbl>
      <w:tblPr>
        <w:tblW w:w="14560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80"/>
        <w:gridCol w:w="3641"/>
        <w:gridCol w:w="3638"/>
      </w:tblGrid>
      <w:tr>
        <w:trPr/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Wymagania edukacyjne podstawowe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Wymagania edukacyjne ponadpodstawowe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bookmarkStart w:id="0" w:name="_Hlk63761971"/>
            <w:bookmarkStart w:id="1" w:name="_Hlk63761971"/>
            <w:bookmarkEnd w:id="1"/>
          </w:p>
        </w:tc>
      </w:tr>
      <w:tr>
        <w:trPr/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grupa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fluorowcopochodne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alkohole mono- i polihydroksylowe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fenole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aldehydy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ketony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kwasy karboksylowe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estry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amidy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i nazwy wybranych fluorowcopochodnych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zasady nazewnictwa systematycznego fluorowcopochodnych, alkoholi monohydroksylowych i polihydroksylowych, aldehydów, ketonów, kwasów karboksylowych, estrów, amin i amidów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półstrukturalne i sumaryczne czterech pierwszych związków szeregu homologicznego alkoholi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określa, na czym polega proces fermentacji alkoholowej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metanalu i etanalu, podaje ich nazwy systematyczne i zwyczajowe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metodę otrzymywania metanalu i etanalu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reakcje charakterystyczne aldehydów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wzór i określa właściwości </w:t>
              <w:br/>
              <w:t>propan-2-onu jako najprostszego ketonu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kwasów metanowego i etanowego, podaje ich nazwy systematyczne i zwyczajowe, właściwości i zastosowania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omawia, na czym polega proces fermentacji octowej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 kwasu tłuszczowego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72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określa, co to są mydła, i podaje sposób ich otrzymywania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dowolny przykład reakcji zmydlania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metodę otrzymywania estrów, podaje ich właściwości i zastosowania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tłuszcze jako specyficzny rodzaj estrów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właściwości tłuszczów i określa, jaką funkcję pełnią w organizmie człowieka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tłuszcze na proste i złożone oraz wymienia przykłady takich tłuszczów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metanoaminy i określa jej właściwości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składniki kawy oraz herbaty i wyjaśnia ich działanie na organizm człowieka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mocznika i określa jego właściwości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grupa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fluorowcopochodne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alkohole mono-i polihydroksylowe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fenole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aldehydy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ketony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kwasy karboksylowe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estry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amidy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metody otrzymywania i zastosowania fluorowcopochodnych węglowodorów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rzędowości</w:t>
            </w:r>
            <w:r>
              <w:rPr>
                <w:sz w:val="18"/>
                <w:szCs w:val="18"/>
              </w:rPr>
              <w:t xml:space="preserve"> alkoholi i amin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wyprowadza wzór ogólny alkoholi monohydroksylowych na podstawie wzorów czterech pierwszych związków szeregu homologicznego tych związków chemicznych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systematyczne i zwyczajowe metanolu i etanolu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chemicznych, którym ulegają alkohole (spalanie, reakcje z sodem i z chlorowodorem)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62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glikolu etylenowego, podaje jego nazwę systematyczną, właściwości i zastosowania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otrzymywania etanalu z etanolu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6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przebieg reakcji charakterystycznych aldehydów na przykładzie metanalu – próba Tollensa i próba Trommera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6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etanalu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6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zasady nazewnictwa systematycznego ketonów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6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metody otrzymywania ketonów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czterech pierwszych kwasów karboksylowych w szeregu homologicznym i podaje ich nazwy systematyczne i zwyczajowe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właściwości kwasów metanowego i etanowego (odczyn, palność, reakcje z metalami, tlenkami metali i zasadami);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zastosowania kwasu etanowego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kwasów palmitynowego, stearynowego i oleinowego, podaje ich nazwy i wyjaśnia, dlaczego są zaliczane do wyższych kwasów karboksylowych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6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6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substancji powierzchniowo-czynnych, omawia mechanizm mycia i prania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6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charakter chemiczny składników substancji używanych do mycia i czyszczenia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6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powszechność stosowania środków ochrony roślin oraz zagrożenia wynikające z nierozważnego ich użycia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reakcja estryfikacji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ogólny estru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otrzymywania etanianu etylu i omawia warunki, w jakich zachodzi ta reakcja chemiczna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otrzymywania etanianu etylu i bada jego właściwości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miejsca występowania i zastosowania estrów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tłuszcze ze względu na pochodzenie i stan skupienia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reakcja zmydlania tłuszczów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kryterium podziału tłuszczów na proste i złożone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ogólne właściwości lipidów oraz ich podział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tworzenie się emulsji i ich zastosowania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skład kosmetyków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cząsteczek amin, ich rzędowość i nazewnictwo systematyczne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cząsteczek amidów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właściwości fluorowcopochodnych węglowodorów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rodzaje i źródła zanieczyszczeń powietrza (np. freony)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znaczenie pojęć: </w:t>
            </w:r>
            <w:r>
              <w:rPr>
                <w:i/>
                <w:sz w:val="18"/>
                <w:szCs w:val="18"/>
              </w:rPr>
              <w:t>termoplasty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duroplasty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nazw systematycznych duroplastów i termoplastów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etanolu (rozpuszczalność w wodzie, palność, reakcja z sodem, odczyn, działanie na białko jaja, reakcja z chlorowodorem); 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wykrywa doświadczalnie obecność etanolu w próbce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fenolu z wodorotlenkiem sodu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Wykrywanie fenolu – reakcja fenolu z chlorkiem żelaza(III)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Otrzymywanie etanalu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próby Tollensa i Trommera dla etanalu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przedstawiające próby Tollensa i Trommera dla etanalu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próba jodoformowa i dla jakich ketonów zachodzi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 doświadczalnie właściwości </w:t>
              <w:br/>
              <w:t>propan-2-onu i wykazuje, że ketony nie mają właściwości redukujących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redukujących </w:t>
              <w:br/>
              <w:t xml:space="preserve">propan-2-onu – próby Tollensa i Trommera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kwasu etanowego (palność, odczyn, reakcje z magnezem, tlenkiem miedzi(II) i wodorotlenkiem sodu);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 xml:space="preserve">Badanie właściwości kwasów metanowego i etanowego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magnezem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tlenkiem miedzi(II)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wodorotlenkiem sodu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metanowego z wodnym roztworem manganianu(VII) potasu i kwasem siarkowym(VI)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mechanizm reakcji estryfikacji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etanolu z kwasem etanowym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hydrolizę etanianu etylu i zapisuje równanie zachodzącej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zmydlania tłuszczu i 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stearynowego z zasadą sodową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hydrolizy tłuszczu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amin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amidów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hydrolizy etanoamidu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mocznika jako pochodnej kwasu węglowego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hydrolizy mocznika i zapisuje równanie tej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kondensacji mocznika i wskazuje wiązanie peptydowe w cząsteczce powstałego związku chemicznego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przebieg reakcji polimeryzacji fluorowcopochodnych węglowodorów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Wykrywanie obecności etanolu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zachowania alkoholi pierwszo-, drugo- i trzeciorzędowych wobec utleniaczy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zjawisko kontrakcji objętości etanolu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 wpływ pierścienia benzenowego na charakter chemiczny fenolu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wykrywa obecność fenolu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budowę cząsteczek oraz właściwości alkoholi i fenoli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wykazuje, że aldehydy można otrzymać w wyniku utleniania alkoholi pierwszorzędowych, zapisuje odpowiednie równania reakcji chemicznych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before="0" w:after="0"/>
              <w:ind w:left="181" w:hanging="181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aldehydy mają właściwości redukujące, przeprowadza odpowiednie doświadczenia chemiczne i zapisuje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metanalu z fenolem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polikondensacji metanalu z fenolem, zapisuje jej równanie i wyjaśnia, czym różni się ona od reakcji polimeryzacji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różne metody otrzymywania aldehydów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i porównuje budowę cząsteczek oraz właściwości aldehydów i ketonów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aldehydy i ketony o tych samych wzorach sumarycznych są względem siebie izomerami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i wykonuje doświadczenie chemiczne wykazujące nienasycony charakter oleju roślinnego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aminy są pochodnymi zarówno amoniaku, jak i węglowodorów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aniliny z kwasem chlorowodorowym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przyczynę zasadowych właściwości amoniaku i amin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przebieg reakcji hydrolizy etanoamidu w środowisku kwasu siarkowego(VI) i wodorotlenku sodu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Normal"/>
        <w:spacing w:before="0" w:after="240"/>
        <w:ind w:left="425" w:hanging="0"/>
        <w:rPr>
          <w:b/>
          <w:b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orient="landscape" w:w="16838" w:h="11906"/>
      <w:pgMar w:left="567" w:right="907" w:gutter="0" w:header="0" w:top="1021" w:footer="709" w:bottom="102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5pt;height:1.1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426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426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-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692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644a9"/>
    <w:rPr/>
  </w:style>
  <w:style w:type="character" w:styleId="Annotationreference">
    <w:name w:val="annotation reference"/>
    <w:semiHidden/>
    <w:qFormat/>
    <w:rsid w:val="001e1338"/>
    <w:rPr>
      <w:sz w:val="16"/>
      <w:szCs w:val="16"/>
    </w:rPr>
  </w:style>
  <w:style w:type="character" w:styleId="NagwekZnak" w:customStyle="1">
    <w:name w:val="Nagłówek Znak"/>
    <w:link w:val="Nagwek"/>
    <w:uiPriority w:val="99"/>
    <w:qFormat/>
    <w:rsid w:val="00de543a"/>
    <w:rPr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92cf9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92cf9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755b7"/>
    <w:rPr>
      <w:sz w:val="24"/>
      <w:szCs w:val="24"/>
    </w:rPr>
  </w:style>
  <w:style w:type="character" w:styleId="Zakotwiczenieprzypisudolnego">
    <w:name w:val="Zakotwiczenie przypisu dolnego"/>
    <w:rPr>
      <w:b/>
      <w:sz w:val="18"/>
      <w:vertAlign w:val="superscript"/>
    </w:rPr>
  </w:style>
  <w:style w:type="character" w:styleId="FootnoteCharacters">
    <w:name w:val="Footnote Characters"/>
    <w:basedOn w:val="DefaultParagraphFont"/>
    <w:semiHidden/>
    <w:qFormat/>
    <w:rsid w:val="00b73299"/>
    <w:rPr>
      <w:b/>
      <w:sz w:val="18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b73299"/>
    <w:rPr/>
  </w:style>
  <w:style w:type="character" w:styleId="Fontstyle01" w:customStyle="1">
    <w:name w:val="fontstyle01"/>
    <w:basedOn w:val="DefaultParagraphFont"/>
    <w:qFormat/>
    <w:rsid w:val="00a46f44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PlandokumentuZnak">
    <w:name w:val="Plan dokumentu Znak"/>
    <w:qFormat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TekstdymkaZnak">
    <w:name w:val="Tekst dymka Znak"/>
    <w:qFormat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TematkomentarzaZnak">
    <w:name w:val="Temat komentarza Znak"/>
    <w:qFormat/>
    <w:rPr>
      <w:rFonts w:ascii="Times New Roman" w:hAnsi="Times New Roman" w:eastAsia="Andale Sans UI" w:cs="Tahoma"/>
      <w:b/>
      <w:bCs/>
      <w:kern w:val="2"/>
      <w:lang w:val="de-DE" w:eastAsia="ja-JP" w:bidi="fa-IR"/>
    </w:rPr>
  </w:style>
  <w:style w:type="character" w:styleId="TekstkomentarzaZnak">
    <w:name w:val="Tekst komentarza Znak"/>
    <w:qFormat/>
    <w:rPr>
      <w:rFonts w:ascii="Times New Roman" w:hAnsi="Times New Roman" w:eastAsia="Andale Sans UI" w:cs="Tahoma"/>
      <w:kern w:val="2"/>
      <w:lang w:val="de-DE" w:eastAsia="ja-JP" w:bidi="fa-IR"/>
    </w:rPr>
  </w:style>
  <w:style w:type="character" w:styleId="Domylnaczcionkaakapitu">
    <w:name w:val="Domyślna czcionka akapitu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b006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006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rsid w:val="001e133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1e1338"/>
    <w:pPr/>
    <w:rPr>
      <w:b/>
      <w:bCs/>
    </w:rPr>
  </w:style>
  <w:style w:type="paragraph" w:styleId="BalloonText">
    <w:name w:val="Balloon Text"/>
    <w:basedOn w:val="Normal"/>
    <w:semiHidden/>
    <w:qFormat/>
    <w:rsid w:val="001e133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e543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92cf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52ad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semiHidden/>
    <w:rsid w:val="00b73299"/>
    <w:pPr>
      <w:widowControl w:val="false"/>
      <w:suppressAutoHyphens w:val="true"/>
      <w:ind w:left="227" w:hanging="227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92b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Standard"/>
    <w:qFormat/>
    <w:rsid w:val="00ec10fa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opkaCopyright" w:customStyle="1">
    <w:name w:val="Stopka Copyright"/>
    <w:basedOn w:val="Normal"/>
    <w:qFormat/>
    <w:rsid w:val="00ec10fa"/>
    <w:pPr>
      <w:jc w:val="both"/>
    </w:pPr>
    <w:rPr>
      <w:rFonts w:ascii="Roboto" w:hAnsi="Roboto" w:eastAsia="Calibri"/>
      <w:iCs/>
      <w:color w:val="000000"/>
      <w:sz w:val="16"/>
      <w:szCs w:val="18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Poprawka">
    <w:name w:val="Poprawk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Plandokumentu">
    <w:name w:val="Plan dokumentu"/>
    <w:basedOn w:val="Normal"/>
    <w:qFormat/>
    <w:pPr>
      <w:widowControl w:val="false"/>
      <w:textAlignment w:val="baseline"/>
    </w:pPr>
    <w:rPr>
      <w:rFonts w:ascii="Tahoma" w:hAnsi="Tahoma" w:eastAsia="Andale Sans UI" w:cs="Tahoma"/>
      <w:sz w:val="16"/>
      <w:szCs w:val="16"/>
      <w:lang w:val="de-DE" w:eastAsia="ja-JP" w:bidi="fa-IR"/>
    </w:rPr>
  </w:style>
  <w:style w:type="paragraph" w:styleId="Tekstdymka">
    <w:name w:val="Tekst dymka"/>
    <w:basedOn w:val="Normal"/>
    <w:qFormat/>
    <w:pPr>
      <w:widowControl w:val="false"/>
      <w:textAlignment w:val="baseline"/>
    </w:pPr>
    <w:rPr>
      <w:rFonts w:ascii="Tahoma" w:hAnsi="Tahoma" w:eastAsia="Andale Sans UI" w:cs="Tahoma"/>
      <w:sz w:val="16"/>
      <w:szCs w:val="16"/>
      <w:lang w:val="de-DE" w:eastAsia="ja-JP" w:bidi="fa-IR"/>
    </w:rPr>
  </w:style>
  <w:style w:type="paragraph" w:styleId="Tematkomentarza">
    <w:name w:val="Temat komentarz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b/>
      <w:bCs/>
      <w:color w:val="auto"/>
      <w:kern w:val="0"/>
      <w:sz w:val="20"/>
      <w:szCs w:val="20"/>
      <w:lang w:val="de-DE" w:eastAsia="ja-JP" w:bidi="fa-IR"/>
    </w:rPr>
  </w:style>
  <w:style w:type="paragraph" w:styleId="Tekstkomentarza">
    <w:name w:val="Tekst komentarza"/>
    <w:basedOn w:val="Normal"/>
    <w:qFormat/>
    <w:pPr>
      <w:widowControl w:val="false"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paragraph" w:styleId="Akapitzlist">
    <w:name w:val="Akapit z listą"/>
    <w:basedOn w:val="Normal"/>
    <w:qFormat/>
    <w:pPr>
      <w:widowControl w:val="false"/>
      <w:ind w:left="720" w:hanging="0"/>
      <w:textAlignment w:val="baseline"/>
    </w:pPr>
    <w:rPr>
      <w:rFonts w:eastAsia="Andale Sans UI" w:cs="Tahoma"/>
      <w:lang w:val="de-DE" w:eastAsia="ja-JP" w:bidi="fa-IR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Andale Sans UI" w:cs="Tahoma"/>
      <w:color w:val="auto"/>
      <w:kern w:val="0"/>
      <w:sz w:val="20"/>
      <w:szCs w:val="20"/>
      <w:lang w:val="de-DE" w:eastAsia="ja-JP" w:bidi="fa-IR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006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3404-A317-4D45-B4F6-B55AF2AC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LibreOffice/7.2.0.4$Windows_X86_64 LibreOffice_project/9a9c6381e3f7a62afc1329bd359cc48accb6435b</Application>
  <AppVersion>15.0000</AppVersion>
  <Pages>8</Pages>
  <Words>3122</Words>
  <Characters>21939</Characters>
  <CharactersWithSpaces>24509</CharactersWithSpaces>
  <Paragraphs>298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2021-09-09T15:32:43Z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